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8pt;visibility:visible;mso-wrap-style:square">
            <v:imagedata r:id="rId7" o:title=""/>
          </v:shape>
        </w:pic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КОМСОМОЛЬСКОГО СЕЛЬСКОГО ПОСЕЛЕНИЯ </w:t>
      </w:r>
    </w:p>
    <w:p>
      <w:pPr>
        <w:tabs>
          <w:tab w:val="left" w:pos="7938"/>
        </w:tabs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тринадцатое заседание пятого созыва </w:t>
      </w:r>
    </w:p>
    <w:p>
      <w:pPr>
        <w:tabs>
          <w:tab w:val="left" w:pos="7938"/>
        </w:tabs>
        <w:ind w:right="-5"/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«29» октября 2024 года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</w:t>
      </w:r>
      <w:r>
        <w:rPr>
          <w:rFonts w:eastAsia="Calibri"/>
          <w:b/>
          <w:sz w:val="28"/>
          <w:szCs w:val="28"/>
        </w:rPr>
        <w:tab/>
        <w:t>№ 56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передаче к осуществлению части полномочий Комсомольского сельского поселения по организации благоустройства территории в части освещения улиц</w:t>
      </w:r>
    </w:p>
    <w:p>
      <w:pPr>
        <w:contextualSpacing/>
        <w:jc w:val="center"/>
        <w:rPr>
          <w:b/>
          <w:bCs/>
          <w:sz w:val="28"/>
          <w:szCs w:val="28"/>
        </w:rPr>
      </w:pPr>
    </w:p>
    <w:p>
      <w:pPr>
        <w:contextualSpacing/>
        <w:jc w:val="center"/>
        <w:rPr>
          <w:sz w:val="28"/>
          <w:szCs w:val="28"/>
        </w:rPr>
      </w:pP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Руководствуясь </w:t>
      </w:r>
      <w:hyperlink r:id="rId8" w:history="1">
        <w:r>
          <w:rPr>
            <w:sz w:val="28"/>
            <w:szCs w:val="28"/>
          </w:rPr>
          <w:t>частью 4 статьи 15</w:t>
        </w:r>
      </w:hyperlink>
      <w:r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Комсомольского сельского поселения муниципального района «Белгородский район» Белгородской области, </w:t>
      </w:r>
    </w:p>
    <w:p>
      <w:pPr>
        <w:contextualSpacing/>
        <w:jc w:val="center"/>
        <w:rPr>
          <w:bCs/>
          <w:sz w:val="16"/>
          <w:szCs w:val="16"/>
        </w:rPr>
      </w:pPr>
    </w:p>
    <w:p>
      <w:pPr>
        <w:contextualSpacing/>
        <w:jc w:val="both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ab/>
        <w:t xml:space="preserve">земское собрание Комсомольского сельского </w:t>
      </w:r>
      <w:r>
        <w:rPr>
          <w:b/>
          <w:spacing w:val="20"/>
          <w:sz w:val="28"/>
          <w:szCs w:val="28"/>
        </w:rPr>
        <w:t>решило:</w:t>
      </w:r>
    </w:p>
    <w:p>
      <w:pPr>
        <w:contextualSpacing/>
        <w:jc w:val="center"/>
        <w:rPr>
          <w:sz w:val="16"/>
          <w:szCs w:val="16"/>
        </w:rPr>
      </w:pPr>
    </w:p>
    <w:p>
      <w:pPr>
        <w:widowControl w:val="0"/>
        <w:numPr>
          <w:ilvl w:val="0"/>
          <w:numId w:val="17"/>
        </w:numPr>
        <w:ind w:firstLine="709"/>
        <w:jc w:val="both"/>
      </w:pPr>
      <w:r>
        <w:rPr>
          <w:sz w:val="28"/>
          <w:szCs w:val="28"/>
        </w:rPr>
        <w:t>Передать Администрации Бе</w:t>
      </w:r>
      <w:bookmarkStart w:id="0" w:name="_GoBack"/>
      <w:bookmarkEnd w:id="0"/>
      <w:r>
        <w:rPr>
          <w:sz w:val="28"/>
          <w:szCs w:val="28"/>
        </w:rPr>
        <w:t>лгородского района с 1 января 2025 года  осуществление полномочий  поселения по организации благоустройства территории в части освещения улиц сроком до 31 декабря 2025 года.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проект </w:t>
      </w:r>
      <w:hyperlink r:id="rId10" w:anchor="P44" w:history="1">
        <w:r>
          <w:rPr>
            <w:sz w:val="28"/>
            <w:szCs w:val="28"/>
          </w:rPr>
          <w:t>соглашения</w:t>
        </w:r>
      </w:hyperlink>
      <w:r>
        <w:rPr>
          <w:sz w:val="28"/>
          <w:szCs w:val="28"/>
        </w:rPr>
        <w:t xml:space="preserve"> между администрацией Белгородского района и администрацией Комсомольского сельского поселения об осуществлении полномочий по организации благоустройства территории в части освещения улиц населенных пунктов (прилагается).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3. Утвердить </w:t>
      </w:r>
      <w:hyperlink r:id="rId11" w:anchor="P154" w:history="1">
        <w:r>
          <w:rPr>
            <w:sz w:val="28"/>
            <w:szCs w:val="28"/>
          </w:rPr>
          <w:t>Порядок и условия</w:t>
        </w:r>
      </w:hyperlink>
      <w:r>
        <w:rPr>
          <w:sz w:val="28"/>
          <w:szCs w:val="28"/>
        </w:rPr>
        <w:t xml:space="preserve"> предоставления межбюджетных трансфертов, предоставляемых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бюджета сельского поселения на осуществление полномочий сельского поселения (прилагается).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4. Утвердить размер межбюджетных трансфертов, предоставляемых</w:t>
      </w:r>
      <w:r>
        <w:rPr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из бюджета сельского поселения бюджету муниципального района «Белгородский район» Белгородской области на осуществление полномочий сельского поселения по организации благоустройства территории в части освещения улиц населенных пунктов (прилагается).</w:t>
      </w:r>
    </w:p>
    <w:p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Поручить администрации </w:t>
      </w:r>
      <w:r>
        <w:rPr>
          <w:sz w:val="28"/>
          <w:szCs w:val="28"/>
        </w:rPr>
        <w:t>Комсомольского сельского поселения</w:t>
      </w:r>
      <w:r>
        <w:rPr>
          <w:bCs/>
          <w:sz w:val="28"/>
          <w:szCs w:val="28"/>
        </w:rPr>
        <w:t xml:space="preserve"> 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sz w:val="28"/>
          <w:szCs w:val="28"/>
        </w:rPr>
        <w:t>Комсомольского сельского поселения</w:t>
      </w:r>
      <w:r>
        <w:rPr>
          <w:bCs/>
          <w:sz w:val="28"/>
          <w:szCs w:val="28"/>
        </w:rPr>
        <w:t xml:space="preserve"> муниципального района «Белгородский район» Белгородской области.</w:t>
      </w:r>
    </w:p>
    <w:p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Контроль за исполнением данного решения возложить на постоянную комиссию по экономическому развитию, бюджету, социальной политике и жизнеобеспечению поселения (Прохоров О.П.).</w:t>
      </w:r>
    </w:p>
    <w:p>
      <w:pPr>
        <w:contextualSpacing/>
        <w:jc w:val="both"/>
        <w:rPr>
          <w:sz w:val="28"/>
          <w:szCs w:val="28"/>
        </w:rPr>
      </w:pPr>
    </w:p>
    <w:p>
      <w:pPr>
        <w:contextualSpacing/>
        <w:jc w:val="both"/>
        <w:rPr>
          <w:sz w:val="28"/>
          <w:szCs w:val="28"/>
        </w:rPr>
      </w:pPr>
    </w:p>
    <w:p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</w:t>
      </w:r>
      <w:r>
        <w:rPr>
          <w:b/>
          <w:sz w:val="28"/>
          <w:szCs w:val="28"/>
        </w:rPr>
        <w:tab/>
        <w:t xml:space="preserve">                 В.Н. Поваров</w:t>
      </w:r>
    </w:p>
    <w:p>
      <w:pPr>
        <w:ind w:left="5103"/>
        <w:jc w:val="center"/>
        <w:rPr>
          <w:b/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rPr>
          <w:caps/>
          <w:sz w:val="28"/>
          <w:szCs w:val="28"/>
        </w:rPr>
      </w:pPr>
    </w:p>
    <w:p>
      <w:pPr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103"/>
        <w:jc w:val="center"/>
        <w:rPr>
          <w:caps/>
          <w:sz w:val="28"/>
          <w:szCs w:val="28"/>
        </w:rPr>
      </w:pPr>
    </w:p>
    <w:p>
      <w:pPr>
        <w:ind w:left="504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>
      <w:pPr>
        <w:ind w:left="50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Комсомольского сельского поселения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«29»  октября 2024 г. №  56</w:t>
      </w:r>
    </w:p>
    <w:p>
      <w:pPr>
        <w:ind w:left="5040"/>
        <w:jc w:val="center"/>
        <w:rPr>
          <w:sz w:val="24"/>
          <w:szCs w:val="24"/>
        </w:rPr>
      </w:pPr>
    </w:p>
    <w:p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 Р О Е К Т»</w:t>
      </w:r>
    </w:p>
    <w:p>
      <w:pPr>
        <w:jc w:val="right"/>
        <w:rPr>
          <w:b/>
          <w:sz w:val="24"/>
          <w:szCs w:val="24"/>
        </w:rPr>
      </w:pPr>
    </w:p>
    <w:p>
      <w:pPr>
        <w:jc w:val="center"/>
      </w:pPr>
      <w:r>
        <w:rPr>
          <w:b/>
          <w:caps/>
          <w:sz w:val="27"/>
          <w:szCs w:val="27"/>
        </w:rPr>
        <w:t>Соглашение № __/__/__</w:t>
      </w:r>
      <w:r>
        <w:rPr>
          <w:b/>
          <w:caps/>
          <w:sz w:val="27"/>
          <w:szCs w:val="27"/>
        </w:rPr>
        <w:br/>
      </w:r>
      <w:r>
        <w:rPr>
          <w:b/>
          <w:sz w:val="28"/>
          <w:szCs w:val="28"/>
        </w:rPr>
        <w:t xml:space="preserve">между администрацией Белгородского района и администрацией Комсомольского сельского поселения о передаче осуществления  части полномочий поселения по организации благоустройства территории </w:t>
      </w:r>
    </w:p>
    <w:p>
      <w:pPr>
        <w:jc w:val="center"/>
      </w:pPr>
      <w:r>
        <w:rPr>
          <w:b/>
          <w:sz w:val="28"/>
          <w:szCs w:val="28"/>
        </w:rPr>
        <w:t>в части освещения улиц</w:t>
      </w:r>
    </w:p>
    <w:p>
      <w:pPr>
        <w:jc w:val="center"/>
      </w:pPr>
      <w:r>
        <w:rPr>
          <w:b/>
          <w:sz w:val="28"/>
          <w:szCs w:val="28"/>
        </w:rPr>
        <w:t xml:space="preserve"> </w:t>
      </w:r>
    </w:p>
    <w:p>
      <w:pPr>
        <w:jc w:val="center"/>
      </w:pPr>
    </w:p>
    <w:p>
      <w:pPr>
        <w:tabs>
          <w:tab w:val="left" w:pos="709"/>
        </w:tabs>
        <w:jc w:val="center"/>
      </w:pPr>
      <w:r>
        <w:rPr>
          <w:b/>
          <w:sz w:val="28"/>
          <w:szCs w:val="28"/>
        </w:rPr>
        <w:t>г. 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«__»________ 2024 года</w:t>
      </w:r>
    </w:p>
    <w:p>
      <w:pPr>
        <w:ind w:firstLine="697"/>
        <w:jc w:val="center"/>
      </w:pPr>
    </w:p>
    <w:p>
      <w:pPr>
        <w:pStyle w:val="ConsPlusNormal"/>
        <w:ind w:firstLine="540"/>
        <w:jc w:val="both"/>
      </w:pPr>
      <w:r>
        <w:t xml:space="preserve">Администрация Комсомольского сельского поселения, именуемая в дальнейшем «Администрация поселения», в лице главы администрации Комсомольского сельского поселения Нерубенко Игоря Фёдоровича, действующего на основании Устава Комсомольского сельского поселения муниципального района «Белгородский район» Белгородской области, с одной стороны, </w:t>
      </w:r>
    </w:p>
    <w:p>
      <w:pPr>
        <w:pStyle w:val="ConsPlusNormal"/>
        <w:ind w:firstLine="540"/>
        <w:jc w:val="both"/>
      </w:pPr>
      <w: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Куташовой Анна Петровны, действующего на основании </w:t>
      </w:r>
      <w:hyperlink r:id="rId12" w:history="1">
        <w:r>
          <w:t>Устава</w:t>
        </w:r>
      </w:hyperlink>
      <w:r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>
      <w:pPr>
        <w:pStyle w:val="ConsPlusNormal"/>
        <w:ind w:firstLine="540"/>
        <w:jc w:val="both"/>
      </w:pPr>
      <w:r>
        <w:t>руководствуясь частью 4 статьи 15  Федерального закона от 6 октября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Комсомольского сельского поселения муниципального района «Белгородский район» Белгородской области, решением земского собрания  Комсомольского сельского поселения от «__» ________ 202__ года №_____,  решением  Муниципального совета Белгородского района от «____»____________ 202_ года №_____, заключили настоящее Соглашение (далее – «Соглашение») о нижеследующем:</w:t>
      </w:r>
    </w:p>
    <w:p>
      <w:pPr>
        <w:pStyle w:val="ConsPlusNormal"/>
        <w:ind w:firstLine="540"/>
        <w:jc w:val="both"/>
      </w:pPr>
    </w:p>
    <w:p>
      <w:pPr>
        <w:ind w:left="697"/>
        <w:jc w:val="center"/>
      </w:pPr>
      <w:r>
        <w:rPr>
          <w:b/>
          <w:sz w:val="28"/>
          <w:szCs w:val="28"/>
        </w:rPr>
        <w:t>1. Общие положения</w:t>
      </w:r>
    </w:p>
    <w:p>
      <w:pPr>
        <w:ind w:left="1057"/>
      </w:pPr>
    </w:p>
    <w:p>
      <w:pPr>
        <w:pStyle w:val="210"/>
        <w:tabs>
          <w:tab w:val="clear" w:pos="1260"/>
          <w:tab w:val="left" w:pos="1134"/>
        </w:tabs>
        <w:ind w:firstLine="709"/>
        <w:rPr>
          <w:color w:val="auto"/>
          <w:lang w:val="ru-RU"/>
        </w:rPr>
      </w:pPr>
      <w:r>
        <w:rPr>
          <w:color w:val="auto"/>
          <w:szCs w:val="28"/>
          <w:lang w:val="ru-RU"/>
        </w:rPr>
        <w:t xml:space="preserve">1.1. Администрация поселения передает, а Администрация Белгородского района принимает осуществление части полномочий поселения по организации благоустройства территории в части освещения улиц, в соответствии с </w:t>
      </w:r>
      <w:hyperlink w:anchor="Par24" w:history="1">
        <w:r>
          <w:rPr>
            <w:color w:val="auto"/>
            <w:szCs w:val="28"/>
            <w:lang w:val="ru-RU"/>
          </w:rPr>
          <w:t>пунктом 2.1</w:t>
        </w:r>
      </w:hyperlink>
      <w:r>
        <w:rPr>
          <w:color w:val="auto"/>
          <w:lang w:val="ru-RU"/>
        </w:rPr>
        <w:t>.</w:t>
      </w:r>
      <w:r>
        <w:rPr>
          <w:color w:val="auto"/>
          <w:szCs w:val="28"/>
          <w:lang w:val="ru-RU"/>
        </w:rPr>
        <w:t xml:space="preserve"> настоящего Соглашения.</w:t>
      </w:r>
    </w:p>
    <w:p>
      <w:pPr>
        <w:pStyle w:val="210"/>
        <w:tabs>
          <w:tab w:val="clear" w:pos="1260"/>
          <w:tab w:val="left" w:pos="709"/>
        </w:tabs>
        <w:ind w:firstLine="709"/>
        <w:rPr>
          <w:color w:val="auto"/>
          <w:lang w:val="ru-RU"/>
        </w:rPr>
      </w:pPr>
      <w:r>
        <w:rPr>
          <w:color w:val="auto"/>
          <w:szCs w:val="28"/>
          <w:lang w:val="ru-RU"/>
        </w:rPr>
        <w:lastRenderedPageBreak/>
        <w:t>1.2. Осуществление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>
      <w:pPr>
        <w:pStyle w:val="210"/>
        <w:tabs>
          <w:tab w:val="clear" w:pos="1260"/>
          <w:tab w:val="left" w:pos="1134"/>
        </w:tabs>
        <w:ind w:firstLine="709"/>
        <w:rPr>
          <w:color w:val="auto"/>
          <w:lang w:val="ru-RU"/>
        </w:rPr>
      </w:pPr>
      <w:r>
        <w:rPr>
          <w:color w:val="auto"/>
          <w:szCs w:val="28"/>
          <w:lang w:val="ru-RU"/>
        </w:rPr>
        <w:t>1.3. 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>
      <w:pPr>
        <w:pStyle w:val="210"/>
        <w:tabs>
          <w:tab w:val="clear" w:pos="1260"/>
          <w:tab w:val="left" w:pos="1134"/>
        </w:tabs>
        <w:ind w:right="-2" w:firstLine="0"/>
        <w:rPr>
          <w:color w:val="auto"/>
          <w:lang w:val="ru-RU"/>
        </w:rPr>
      </w:pPr>
    </w:p>
    <w:p>
      <w:pPr>
        <w:pStyle w:val="ConsPlusNormal"/>
        <w:jc w:val="center"/>
        <w:outlineLvl w:val="1"/>
      </w:pPr>
      <w:r>
        <w:rPr>
          <w:b/>
        </w:rPr>
        <w:t>2. Перечень полномочий, подлежащих передаче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709"/>
        <w:jc w:val="both"/>
      </w:pPr>
      <w:r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>
      <w:pPr>
        <w:pStyle w:val="ConsPlusNormal"/>
        <w:ind w:firstLine="709"/>
        <w:jc w:val="both"/>
      </w:pPr>
      <w:r>
        <w:rPr>
          <w:bCs/>
        </w:rPr>
        <w:t xml:space="preserve">На Администрацию района  возлагается решение следующих вопросов: </w:t>
      </w:r>
    </w:p>
    <w:p>
      <w:pPr>
        <w:pStyle w:val="210"/>
        <w:tabs>
          <w:tab w:val="clear" w:pos="1260"/>
          <w:tab w:val="left" w:pos="851"/>
        </w:tabs>
        <w:ind w:firstLine="709"/>
        <w:rPr>
          <w:color w:val="auto"/>
          <w:lang w:val="ru-RU"/>
        </w:rPr>
      </w:pPr>
      <w:r>
        <w:rPr>
          <w:color w:val="auto"/>
          <w:szCs w:val="28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>
        <w:rPr>
          <w:bCs/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>
        <w:rPr>
          <w:bCs/>
          <w:color w:val="auto"/>
          <w:szCs w:val="28"/>
          <w:lang w:val="ru-RU"/>
        </w:rPr>
        <w:t>выполнение</w:t>
      </w:r>
      <w:r>
        <w:rPr>
          <w:color w:val="auto"/>
          <w:szCs w:val="28"/>
          <w:lang w:val="ru-RU"/>
        </w:rPr>
        <w:t xml:space="preserve"> </w:t>
      </w:r>
      <w:r>
        <w:rPr>
          <w:bCs/>
          <w:color w:val="auto"/>
          <w:szCs w:val="28"/>
          <w:lang w:val="ru-RU"/>
        </w:rPr>
        <w:t>работ</w:t>
      </w:r>
      <w:r>
        <w:rPr>
          <w:color w:val="auto"/>
          <w:szCs w:val="28"/>
          <w:lang w:val="ru-RU"/>
        </w:rPr>
        <w:t xml:space="preserve"> </w:t>
      </w:r>
      <w:r>
        <w:rPr>
          <w:bCs/>
          <w:color w:val="auto"/>
          <w:szCs w:val="28"/>
          <w:lang w:val="ru-RU"/>
        </w:rPr>
        <w:t>по</w:t>
      </w:r>
      <w:r>
        <w:rPr>
          <w:color w:val="auto"/>
          <w:szCs w:val="28"/>
          <w:lang w:val="ru-RU"/>
        </w:rPr>
        <w:t xml:space="preserve"> техническому обслуживанию уличных сетей </w:t>
      </w:r>
      <w:r>
        <w:rPr>
          <w:bCs/>
          <w:color w:val="auto"/>
          <w:szCs w:val="28"/>
          <w:lang w:val="ru-RU"/>
        </w:rPr>
        <w:t>наружного</w:t>
      </w:r>
      <w:r>
        <w:rPr>
          <w:color w:val="auto"/>
          <w:szCs w:val="28"/>
          <w:lang w:val="ru-RU"/>
        </w:rPr>
        <w:t xml:space="preserve"> </w:t>
      </w:r>
      <w:r>
        <w:rPr>
          <w:bCs/>
          <w:color w:val="auto"/>
          <w:szCs w:val="28"/>
          <w:lang w:val="ru-RU"/>
        </w:rPr>
        <w:t>освещения</w:t>
      </w:r>
      <w:r>
        <w:rPr>
          <w:color w:val="auto"/>
          <w:szCs w:val="28"/>
          <w:lang w:val="ru-RU"/>
        </w:rPr>
        <w:t>);</w:t>
      </w:r>
    </w:p>
    <w:p>
      <w:pPr>
        <w:pStyle w:val="210"/>
        <w:tabs>
          <w:tab w:val="clear" w:pos="1260"/>
          <w:tab w:val="left" w:pos="851"/>
        </w:tabs>
        <w:ind w:firstLine="709"/>
        <w:rPr>
          <w:color w:val="auto"/>
          <w:lang w:val="ru-RU"/>
        </w:rPr>
      </w:pPr>
      <w:r>
        <w:rPr>
          <w:color w:val="auto"/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>
      <w:pPr>
        <w:pStyle w:val="ConsPlusNormal"/>
        <w:ind w:firstLine="540"/>
        <w:jc w:val="both"/>
      </w:pPr>
      <w: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>
      <w:pPr>
        <w:pStyle w:val="ConsPlusNormal"/>
        <w:ind w:firstLine="540"/>
        <w:jc w:val="both"/>
      </w:pPr>
    </w:p>
    <w:p>
      <w:pPr>
        <w:jc w:val="center"/>
      </w:pPr>
      <w:r>
        <w:rPr>
          <w:b/>
          <w:sz w:val="28"/>
          <w:szCs w:val="28"/>
        </w:rPr>
        <w:t>3. Права и обязанности Сторон</w:t>
      </w:r>
    </w:p>
    <w:p>
      <w:pPr>
        <w:jc w:val="center"/>
      </w:pPr>
    </w:p>
    <w:p>
      <w:pPr>
        <w:ind w:left="680"/>
      </w:pPr>
      <w:r>
        <w:rPr>
          <w:b/>
          <w:sz w:val="28"/>
          <w:szCs w:val="28"/>
        </w:rPr>
        <w:t>3.1. Администрация поселения имеет право: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>
      <w:pPr>
        <w:tabs>
          <w:tab w:val="left" w:pos="1418"/>
        </w:tabs>
        <w:ind w:firstLine="709"/>
        <w:jc w:val="both"/>
      </w:pPr>
      <w:r>
        <w:rPr>
          <w:bCs/>
          <w:sz w:val="28"/>
          <w:szCs w:val="28"/>
        </w:rPr>
        <w:t xml:space="preserve">3.1.4. Требовать </w:t>
      </w:r>
      <w:r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>
      <w:pPr>
        <w:tabs>
          <w:tab w:val="left" w:pos="1418"/>
        </w:tabs>
        <w:ind w:firstLine="709"/>
        <w:jc w:val="both"/>
      </w:pPr>
    </w:p>
    <w:p>
      <w:pPr>
        <w:tabs>
          <w:tab w:val="left" w:pos="1560"/>
        </w:tabs>
        <w:ind w:firstLine="709"/>
        <w:jc w:val="both"/>
      </w:pPr>
      <w:r>
        <w:rPr>
          <w:b/>
          <w:sz w:val="28"/>
          <w:szCs w:val="28"/>
        </w:rPr>
        <w:t>3.2. Администрация поселения обязана: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3.2.1. Предоставить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3.2.2.Осуществлять контроль за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3.2.4. Перечислять 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3.2.5. Предоставлять Администрации района до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>
      <w:pPr>
        <w:tabs>
          <w:tab w:val="left" w:pos="567"/>
          <w:tab w:val="left" w:pos="1276"/>
        </w:tabs>
        <w:ind w:left="709"/>
      </w:pPr>
      <w:r>
        <w:rPr>
          <w:b/>
          <w:sz w:val="28"/>
          <w:szCs w:val="28"/>
        </w:rPr>
        <w:t>3.3. Администрация района имеет право: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3.3.1.На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>
      <w:pPr>
        <w:pStyle w:val="211"/>
        <w:spacing w:after="0" w:line="240" w:lineRule="auto"/>
        <w:jc w:val="both"/>
        <w:rPr>
          <w:lang w:val="ru-RU"/>
        </w:rPr>
      </w:pPr>
      <w:r>
        <w:rPr>
          <w:b/>
          <w:szCs w:val="28"/>
          <w:lang w:val="ru-RU"/>
        </w:rPr>
        <w:t xml:space="preserve">          3.4. Администрация района обязана:</w:t>
      </w:r>
    </w:p>
    <w:p>
      <w:pPr>
        <w:pStyle w:val="ConsPlusNormal"/>
        <w:tabs>
          <w:tab w:val="left" w:pos="1418"/>
        </w:tabs>
        <w:ind w:firstLine="709"/>
        <w:jc w:val="both"/>
        <w:outlineLvl w:val="1"/>
      </w:pPr>
      <w:r>
        <w:t>3.4.1. В централизованном порядке производить финансирование  мероприятий по организации наружного освещения на территории поселения.</w:t>
      </w:r>
    </w:p>
    <w:p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Соглашения. </w:t>
      </w:r>
    </w:p>
    <w:p>
      <w:pPr>
        <w:jc w:val="both"/>
      </w:pPr>
      <w:r>
        <w:rPr>
          <w:sz w:val="28"/>
          <w:szCs w:val="28"/>
        </w:rPr>
        <w:t xml:space="preserve">          3.4.3. Ежеквартально, не позднее 25 числа месяца, следующего за отчетным периодом,  представляет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/>
    <w:p/>
    <w:p>
      <w:pPr>
        <w:pStyle w:val="110"/>
        <w:spacing w:line="240" w:lineRule="auto"/>
        <w:rPr>
          <w:lang w:val="ru-RU"/>
        </w:rPr>
      </w:pPr>
      <w:r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/>
    <w:p>
      <w:pPr>
        <w:ind w:right="11" w:firstLine="709"/>
        <w:jc w:val="both"/>
      </w:pPr>
      <w:r>
        <w:rPr>
          <w:spacing w:val="-1"/>
          <w:sz w:val="28"/>
          <w:szCs w:val="28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>
      <w:pPr>
        <w:ind w:right="11" w:firstLine="709"/>
        <w:jc w:val="both"/>
      </w:pPr>
      <w:r>
        <w:rPr>
          <w:sz w:val="28"/>
          <w:szCs w:val="28"/>
        </w:rPr>
        <w:t>4.2. Ежегодный объём финансовых средств (межбюджетных трансфертов), предоставляемых из бюджета  поселения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>
      <w:pPr>
        <w:ind w:firstLine="709"/>
        <w:jc w:val="both"/>
      </w:pPr>
      <w:r>
        <w:rPr>
          <w:sz w:val="28"/>
          <w:szCs w:val="28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>
      <w:pPr>
        <w:ind w:firstLine="680"/>
        <w:jc w:val="both"/>
      </w:pPr>
      <w:r>
        <w:rPr>
          <w:sz w:val="28"/>
          <w:szCs w:val="28"/>
        </w:rPr>
        <w:t xml:space="preserve"> </w:t>
      </w:r>
    </w:p>
    <w:p>
      <w:pPr>
        <w:jc w:val="center"/>
      </w:pPr>
      <w:r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>
      <w:pPr>
        <w:jc w:val="center"/>
      </w:pPr>
      <w:r>
        <w:rPr>
          <w:b/>
          <w:sz w:val="28"/>
          <w:szCs w:val="28"/>
        </w:rPr>
        <w:t xml:space="preserve">настоящего соглашения </w:t>
      </w:r>
    </w:p>
    <w:p>
      <w:pPr>
        <w:jc w:val="center"/>
      </w:pPr>
    </w:p>
    <w:p>
      <w:pPr>
        <w:ind w:firstLine="709"/>
        <w:jc w:val="both"/>
      </w:pPr>
      <w:r>
        <w:rPr>
          <w:sz w:val="28"/>
          <w:szCs w:val="28"/>
        </w:rPr>
        <w:t xml:space="preserve">5.1. Настоящее Соглашение действует с </w:t>
      </w:r>
      <w:r>
        <w:rPr>
          <w:bCs/>
          <w:sz w:val="28"/>
          <w:szCs w:val="28"/>
        </w:rPr>
        <w:t xml:space="preserve">1 января 2025 года по  31 декабря 2025 </w:t>
      </w:r>
      <w:r>
        <w:rPr>
          <w:sz w:val="28"/>
          <w:szCs w:val="28"/>
        </w:rPr>
        <w:t>года.</w:t>
      </w:r>
    </w:p>
    <w:p>
      <w:pPr>
        <w:ind w:firstLine="709"/>
        <w:jc w:val="both"/>
      </w:pPr>
      <w:r>
        <w:rPr>
          <w:sz w:val="28"/>
          <w:szCs w:val="28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>
      <w:pPr>
        <w:ind w:firstLine="709"/>
        <w:jc w:val="both"/>
      </w:pPr>
      <w:r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>
      <w:pPr>
        <w:ind w:firstLine="708"/>
        <w:jc w:val="both"/>
      </w:pPr>
      <w:r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>
      <w:pPr>
        <w:ind w:firstLine="709"/>
        <w:jc w:val="both"/>
      </w:pPr>
      <w:r>
        <w:rPr>
          <w:sz w:val="28"/>
          <w:szCs w:val="28"/>
        </w:rPr>
        <w:t>- в одностороннем порядке настоящее Соглашения прекращается в случае: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 xml:space="preserve">- нецелевого использования Администрацией района финансовых средств (межбюджетных трансфертов), предоставляемых в порядке, </w:t>
      </w:r>
      <w:r>
        <w:rPr>
          <w:sz w:val="28"/>
          <w:szCs w:val="28"/>
        </w:rPr>
        <w:lastRenderedPageBreak/>
        <w:t>предусмотренном разделом 4 настоящего Соглашения;</w:t>
      </w:r>
    </w:p>
    <w:p>
      <w:pPr>
        <w:widowControl w:val="0"/>
        <w:ind w:firstLine="709"/>
        <w:jc w:val="both"/>
      </w:pPr>
    </w:p>
    <w:p>
      <w:pPr>
        <w:widowControl w:val="0"/>
        <w:ind w:firstLine="709"/>
        <w:jc w:val="both"/>
      </w:pPr>
      <w:r>
        <w:rPr>
          <w:sz w:val="28"/>
          <w:szCs w:val="28"/>
        </w:rPr>
        <w:t>- не представление финансовых средств (межбюджетных трансфертов) из бюджета  поселения в течение трёх месяцев с даты последнего перечисления.</w:t>
      </w:r>
    </w:p>
    <w:p>
      <w:pPr>
        <w:widowControl w:val="0"/>
        <w:ind w:firstLine="709"/>
        <w:jc w:val="both"/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>
      <w:pPr>
        <w:widowControl w:val="0"/>
        <w:ind w:firstLine="540"/>
        <w:jc w:val="both"/>
      </w:pPr>
      <w:r>
        <w:rPr>
          <w:sz w:val="28"/>
          <w:szCs w:val="28"/>
        </w:rPr>
        <w:t>5.4. Соглашение может быть расторгнуто в судебном порядке.</w:t>
      </w:r>
    </w:p>
    <w:p>
      <w:pPr>
        <w:widowControl w:val="0"/>
        <w:ind w:firstLine="540"/>
        <w:jc w:val="both"/>
      </w:pPr>
      <w:r>
        <w:rPr>
          <w:sz w:val="28"/>
          <w:szCs w:val="28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jc w:val="both"/>
      </w:pPr>
      <w:r>
        <w:rPr>
          <w:sz w:val="28"/>
          <w:szCs w:val="28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>
      <w:pPr>
        <w:jc w:val="both"/>
      </w:pPr>
      <w:r>
        <w:rPr>
          <w:sz w:val="28"/>
          <w:szCs w:val="28"/>
        </w:rPr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jc w:val="both"/>
      </w:pPr>
      <w:r>
        <w:rPr>
          <w:sz w:val="28"/>
          <w:szCs w:val="28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>
      <w:pPr>
        <w:jc w:val="both"/>
      </w:pPr>
      <w:r>
        <w:rPr>
          <w:sz w:val="28"/>
          <w:szCs w:val="28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>
      <w:pPr>
        <w:jc w:val="both"/>
      </w:pPr>
    </w:p>
    <w:p>
      <w:pPr>
        <w:ind w:left="1451"/>
        <w:jc w:val="center"/>
      </w:pPr>
      <w:r>
        <w:rPr>
          <w:b/>
          <w:sz w:val="28"/>
          <w:szCs w:val="28"/>
        </w:rPr>
        <w:t>6. Заключительные положения</w:t>
      </w:r>
    </w:p>
    <w:p>
      <w:pPr>
        <w:ind w:left="1260"/>
      </w:pPr>
    </w:p>
    <w:p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>
      <w:pPr>
        <w:pStyle w:val="ConsPlusNormal"/>
        <w:ind w:firstLine="540"/>
        <w:jc w:val="both"/>
      </w:pPr>
      <w:r>
        <w:t>6.2. Все уведомления, заявления и сообщения направляются Сторонами в письменной форме.</w:t>
      </w:r>
    </w:p>
    <w:p>
      <w:pPr>
        <w:pStyle w:val="ConsPlusNormal"/>
        <w:ind w:firstLine="540"/>
        <w:jc w:val="both"/>
      </w:pPr>
      <w: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pStyle w:val="ConsPlusNormal"/>
        <w:ind w:firstLine="540"/>
        <w:jc w:val="both"/>
      </w:pPr>
      <w:r>
        <w:t xml:space="preserve"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</w:t>
      </w:r>
      <w:r>
        <w:lastRenderedPageBreak/>
        <w:t>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ind w:firstLine="680"/>
        <w:jc w:val="center"/>
      </w:pPr>
    </w:p>
    <w:p>
      <w:pPr>
        <w:pStyle w:val="ConsPlusNormal"/>
        <w:jc w:val="center"/>
        <w:outlineLvl w:val="1"/>
      </w:pPr>
    </w:p>
    <w:p>
      <w:pPr>
        <w:pStyle w:val="ConsPlusNormal"/>
        <w:jc w:val="center"/>
        <w:outlineLvl w:val="1"/>
      </w:pPr>
      <w:r>
        <w:rPr>
          <w:b/>
        </w:rPr>
        <w:t>7. Реквизиты сторон</w:t>
      </w:r>
    </w:p>
    <w:p>
      <w:pPr>
        <w:pStyle w:val="ConsPlusNormal"/>
        <w:ind w:left="1811"/>
        <w:outlineLvl w:val="1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1134"/>
        <w:gridCol w:w="4360"/>
      </w:tblGrid>
      <w:tr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 администрации         </w:t>
            </w:r>
          </w:p>
          <w:p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Комсомольского сельского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И.Ф. Нерубенко</w:t>
            </w:r>
          </w:p>
          <w:p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>
            <w:pPr>
              <w:pStyle w:val="ConsPlusNonformat"/>
              <w:ind w:left="-108"/>
              <w:jc w:val="both"/>
            </w:pPr>
          </w:p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А.П. Куташова</w:t>
            </w:r>
          </w:p>
          <w:p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212"/>
              <w:jc w:val="left"/>
              <w:rPr>
                <w:color w:val="auto"/>
                <w:lang w:val="ru-RU"/>
              </w:rPr>
            </w:pPr>
          </w:p>
          <w:p>
            <w:pPr>
              <w:pStyle w:val="212"/>
              <w:jc w:val="left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rPr>
                <w:color w:val="auto"/>
                <w:lang w:val="ru-RU"/>
              </w:rPr>
            </w:pPr>
          </w:p>
          <w:p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Приложение  № 1</w:t>
            </w:r>
          </w:p>
          <w:p>
            <w:pPr>
              <w:pStyle w:val="212"/>
              <w:ind w:firstLine="0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к Соглашению </w:t>
            </w:r>
            <w:r>
              <w:rPr>
                <w:b w:val="0"/>
                <w:color w:val="auto"/>
                <w:szCs w:val="28"/>
                <w:lang w:val="ru-RU"/>
              </w:rPr>
              <w:t>между администрацией Белгородского района и администрацией Комсомольского сельского поселения о передаче осуществления  части полномочий поселения по организации благоустройства территории в части освещения улиц</w:t>
            </w:r>
            <w:r>
              <w:rPr>
                <w:color w:val="auto"/>
                <w:lang w:val="ru-RU"/>
              </w:rPr>
              <w:t xml:space="preserve">      </w:t>
            </w:r>
          </w:p>
          <w:p>
            <w:pPr>
              <w:pStyle w:val="212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от  </w:t>
            </w:r>
            <w:r>
              <w:rPr>
                <w:color w:val="auto"/>
                <w:lang w:val="ru-RU"/>
              </w:rPr>
              <w:t xml:space="preserve">«___» </w:t>
            </w:r>
            <w:r>
              <w:rPr>
                <w:color w:val="auto"/>
              </w:rPr>
              <w:t>___</w:t>
            </w:r>
            <w:r>
              <w:rPr>
                <w:color w:val="auto"/>
                <w:lang w:val="ru-RU"/>
              </w:rPr>
              <w:t>____</w:t>
            </w:r>
            <w:r>
              <w:rPr>
                <w:color w:val="auto"/>
              </w:rPr>
              <w:t xml:space="preserve"> 20</w:t>
            </w:r>
            <w:r>
              <w:rPr>
                <w:color w:val="auto"/>
                <w:lang w:val="ru-RU"/>
              </w:rPr>
              <w:t>2__</w:t>
            </w:r>
            <w:r>
              <w:rPr>
                <w:color w:val="auto"/>
              </w:rPr>
              <w:t xml:space="preserve">  г</w:t>
            </w:r>
            <w:r>
              <w:rPr>
                <w:color w:val="auto"/>
                <w:lang w:val="ru-RU"/>
              </w:rPr>
              <w:t>.</w:t>
            </w:r>
            <w:r>
              <w:rPr>
                <w:color w:val="auto"/>
              </w:rPr>
              <w:t xml:space="preserve">   № </w:t>
            </w:r>
            <w:r>
              <w:rPr>
                <w:color w:val="auto"/>
                <w:lang w:val="ru-RU"/>
              </w:rPr>
              <w:t>__/___/___</w:t>
            </w:r>
          </w:p>
          <w:p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>
      <w:pPr>
        <w:widowControl w:val="0"/>
        <w:rPr>
          <w:sz w:val="28"/>
          <w:szCs w:val="28"/>
        </w:rPr>
      </w:pPr>
    </w:p>
    <w:p>
      <w:pPr>
        <w:jc w:val="center"/>
      </w:pPr>
      <w:r>
        <w:rPr>
          <w:b/>
          <w:sz w:val="28"/>
          <w:szCs w:val="28"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35"/>
        <w:gridCol w:w="4639"/>
        <w:gridCol w:w="27"/>
      </w:tblGrid>
      <w:tr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>
            <w:pPr>
              <w:rPr>
                <w:bCs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4639" w:type="dxa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Сумма, руб.</w:t>
            </w:r>
          </w:p>
        </w:tc>
      </w:tr>
      <w:tr>
        <w:trPr>
          <w:trHeight w:val="284"/>
          <w:jc w:val="center"/>
        </w:trPr>
        <w:tc>
          <w:tcPr>
            <w:tcW w:w="559" w:type="dxa"/>
            <w:vMerge/>
          </w:tcPr>
          <w:p>
            <w:pPr>
              <w:rPr>
                <w:bCs/>
              </w:rPr>
            </w:pPr>
          </w:p>
        </w:tc>
        <w:tc>
          <w:tcPr>
            <w:tcW w:w="3535" w:type="dxa"/>
            <w:vMerge/>
          </w:tcPr>
          <w:p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</w:tcPr>
          <w:p>
            <w:pPr>
              <w:jc w:val="center"/>
              <w:rPr>
                <w:bCs/>
              </w:rPr>
            </w:pPr>
            <w:r>
              <w:rPr>
                <w:b/>
              </w:rPr>
              <w:t>2025 год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>
            <w:r>
              <w:t>Электрическая энергия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2 489,00 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>
            <w:r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907,00 </w:t>
            </w:r>
          </w:p>
        </w:tc>
      </w:tr>
      <w:tr>
        <w:trPr>
          <w:jc w:val="center"/>
        </w:trPr>
        <w:tc>
          <w:tcPr>
            <w:tcW w:w="559" w:type="dxa"/>
          </w:tcPr>
          <w:p>
            <w:pPr>
              <w:jc w:val="center"/>
            </w:pPr>
          </w:p>
        </w:tc>
        <w:tc>
          <w:tcPr>
            <w:tcW w:w="3535" w:type="dxa"/>
          </w:tcPr>
          <w:p>
            <w:r>
              <w:t>Итого</w:t>
            </w:r>
          </w:p>
        </w:tc>
        <w:tc>
          <w:tcPr>
            <w:tcW w:w="4666" w:type="dxa"/>
            <w:gridSpan w:val="2"/>
          </w:tcPr>
          <w:p>
            <w:pPr>
              <w:jc w:val="center"/>
            </w:pPr>
            <w:r>
              <w:t xml:space="preserve">  3 396,00 </w:t>
            </w:r>
          </w:p>
        </w:tc>
      </w:tr>
    </w:tbl>
    <w:p/>
    <w:p>
      <w:pPr>
        <w:pStyle w:val="Style3"/>
        <w:widowControl/>
        <w:ind w:right="25" w:firstLine="993"/>
        <w:jc w:val="both"/>
      </w:pPr>
      <w:r>
        <w:rPr>
          <w:spacing w:val="-1"/>
          <w:sz w:val="28"/>
          <w:szCs w:val="28"/>
        </w:rPr>
        <w:t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светоточек, несоблюдение нормативов освещенности территорий, предусмотренных в ГОСТ, и др.):</w:t>
      </w:r>
    </w:p>
    <w:p>
      <w:pPr>
        <w:pStyle w:val="Style3"/>
        <w:widowControl/>
        <w:ind w:right="25"/>
        <w:jc w:val="both"/>
      </w:pPr>
      <w:r>
        <w:rPr>
          <w:b/>
          <w:spacing w:val="-1"/>
          <w:sz w:val="27"/>
          <w:szCs w:val="27"/>
        </w:rPr>
        <w:t>_____________________________________________________________________</w:t>
      </w:r>
    </w:p>
    <w:p/>
    <w:p>
      <w:r>
        <w:rPr>
          <w:b/>
        </w:rPr>
        <w:t xml:space="preserve">Исполнитель                                                   </w:t>
      </w:r>
      <w:r>
        <w:tab/>
        <w:t xml:space="preserve">                 </w:t>
      </w:r>
      <w:r>
        <w:rPr>
          <w:b/>
        </w:rPr>
        <w:t>Заказчик</w:t>
      </w:r>
    </w:p>
    <w:p>
      <w:r>
        <w:t>______________</w:t>
      </w:r>
      <w:r>
        <w:rPr>
          <w:b/>
        </w:rPr>
        <w:t>Ф.И.О</w:t>
      </w:r>
      <w:r>
        <w:rPr>
          <w:b/>
        </w:rPr>
        <w:tab/>
        <w:t xml:space="preserve">                                                    </w:t>
      </w:r>
      <w:r>
        <w:t>_______________</w:t>
      </w:r>
      <w:r>
        <w:rPr>
          <w:b/>
        </w:rPr>
        <w:t>Ф.И.О.</w:t>
      </w:r>
      <w:r>
        <w:t xml:space="preserve"> </w:t>
      </w:r>
    </w:p>
    <w:p>
      <w:pPr>
        <w:ind w:left="4536"/>
      </w:pPr>
    </w:p>
    <w:p>
      <w:pPr>
        <w:ind w:left="4536"/>
        <w:rPr>
          <w:bCs/>
          <w:spacing w:val="-1"/>
          <w:sz w:val="22"/>
          <w:szCs w:val="22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ind w:left="4536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5386"/>
      </w:tblGrid>
      <w:t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Cs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r>
              <w:rPr>
                <w:b/>
                <w:sz w:val="28"/>
                <w:szCs w:val="28"/>
              </w:rPr>
              <w:t xml:space="preserve">Приложение № 2 </w:t>
            </w:r>
          </w:p>
          <w:p>
            <w:r>
              <w:rPr>
                <w:sz w:val="28"/>
                <w:szCs w:val="28"/>
              </w:rPr>
              <w:t xml:space="preserve">к Соглашению между администрацией Белгородского района и администрацией Комсомольского сельского поселения о передаче осуществления  части полномочий поселения по организации благоустройства территории в части освещения улиц      </w:t>
            </w:r>
          </w:p>
          <w:p>
            <w:pPr>
              <w:rPr>
                <w:bCs/>
              </w:rPr>
            </w:pPr>
            <w:r>
              <w:rPr>
                <w:sz w:val="28"/>
                <w:szCs w:val="28"/>
              </w:rPr>
              <w:t>от  «___» _______ 202__  г.   № __/___/___</w:t>
            </w:r>
          </w:p>
        </w:tc>
      </w:tr>
    </w:tbl>
    <w:p>
      <w:r>
        <w:rPr>
          <w:b/>
          <w:caps/>
          <w:sz w:val="28"/>
          <w:szCs w:val="28"/>
        </w:rPr>
        <w:t xml:space="preserve">                                                      </w:t>
      </w:r>
    </w:p>
    <w:p>
      <w:pPr>
        <w:jc w:val="right"/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    «ФОРМА»</w:t>
      </w:r>
    </w:p>
    <w:p/>
    <w:p>
      <w:r>
        <w:rPr>
          <w:b/>
          <w:caps/>
          <w:sz w:val="28"/>
          <w:szCs w:val="28"/>
        </w:rPr>
        <w:t xml:space="preserve">                                                                 Отчет</w:t>
      </w:r>
    </w:p>
    <w:p>
      <w:pPr>
        <w:jc w:val="center"/>
      </w:pPr>
      <w:r>
        <w:rPr>
          <w:b/>
          <w:spacing w:val="5"/>
          <w:sz w:val="28"/>
          <w:szCs w:val="28"/>
        </w:rPr>
        <w:t xml:space="preserve">об использовании иных межбюджетных трансфертов </w:t>
      </w:r>
      <w:r>
        <w:rPr>
          <w:b/>
          <w:bCs/>
          <w:sz w:val="28"/>
          <w:szCs w:val="28"/>
        </w:rPr>
        <w:t xml:space="preserve">предоставляемых в соответствии с решением земского собрания Комсомольского сельского поселения,  </w:t>
      </w:r>
      <w:r>
        <w:rPr>
          <w:b/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части  полномочий поселения по организации благоустройства территории в части освещения улиц      </w:t>
      </w:r>
    </w:p>
    <w:p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ериодичность: годовой</w:t>
      </w:r>
    </w:p>
    <w:p>
      <w:r>
        <w:rPr>
          <w:sz w:val="28"/>
          <w:szCs w:val="28"/>
        </w:rPr>
        <w:t>Единица измерения: руб.</w:t>
      </w:r>
    </w:p>
    <w:p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9344" w:type="dxa"/>
            <w:gridSpan w:val="2"/>
          </w:tcPr>
          <w:p>
            <w:pPr>
              <w:jc w:val="center"/>
            </w:pPr>
            <w:r>
              <w:rPr>
                <w:b/>
              </w:rPr>
              <w:t>Поступило МБТ из</w:t>
            </w:r>
            <w:r>
              <w:t xml:space="preserve"> </w:t>
            </w:r>
            <w:r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>
        <w:tc>
          <w:tcPr>
            <w:tcW w:w="4672" w:type="dxa"/>
          </w:tcPr>
          <w:p>
            <w:pPr>
              <w:jc w:val="center"/>
            </w:pPr>
            <w:r>
              <w:rPr>
                <w:caps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доходов муниципального района «Белгородский район»</w:t>
            </w:r>
          </w:p>
          <w:p>
            <w:pPr>
              <w:jc w:val="center"/>
            </w:pPr>
            <w:r>
              <w:rPr>
                <w:spacing w:val="5"/>
              </w:rPr>
              <w:t>____________________</w:t>
            </w:r>
          </w:p>
          <w:p>
            <w:pPr>
              <w:rPr>
                <w:spacing w:val="5"/>
              </w:rPr>
            </w:pPr>
          </w:p>
        </w:tc>
        <w:tc>
          <w:tcPr>
            <w:tcW w:w="4672" w:type="dxa"/>
          </w:tcPr>
          <w:p>
            <w:pPr>
              <w:jc w:val="center"/>
            </w:pPr>
            <w:r>
              <w:rPr>
                <w:caps/>
              </w:rPr>
              <w:t>с</w:t>
            </w:r>
            <w:r>
              <w:t>умма, руб.</w:t>
            </w:r>
          </w:p>
        </w:tc>
      </w:tr>
      <w:tr>
        <w:tc>
          <w:tcPr>
            <w:tcW w:w="4672" w:type="dxa"/>
          </w:tcPr>
          <w:p/>
        </w:tc>
        <w:tc>
          <w:tcPr>
            <w:tcW w:w="4672" w:type="dxa"/>
          </w:tcPr>
          <w:p/>
        </w:tc>
      </w:tr>
      <w:tr>
        <w:tc>
          <w:tcPr>
            <w:tcW w:w="4672" w:type="dxa"/>
          </w:tcPr>
          <w:p/>
        </w:tc>
        <w:tc>
          <w:tcPr>
            <w:tcW w:w="4672" w:type="dxa"/>
          </w:tcPr>
          <w:p/>
        </w:tc>
      </w:tr>
      <w:tr>
        <w:tc>
          <w:tcPr>
            <w:tcW w:w="4672" w:type="dxa"/>
          </w:tcPr>
          <w:p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>
            <w:r>
              <w:rPr>
                <w:caps/>
              </w:rPr>
              <w:t>0,00</w:t>
            </w:r>
          </w:p>
        </w:tc>
      </w:tr>
    </w:tbl>
    <w:p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2211"/>
        <w:gridCol w:w="2204"/>
        <w:gridCol w:w="2213"/>
      </w:tblGrid>
      <w:tr>
        <w:tc>
          <w:tcPr>
            <w:tcW w:w="9344" w:type="dxa"/>
            <w:gridSpan w:val="4"/>
          </w:tcPr>
          <w:p>
            <w:pPr>
              <w:widowControl w:val="0"/>
              <w:jc w:val="center"/>
              <w:rPr>
                <w:bCs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>
        <w:tc>
          <w:tcPr>
            <w:tcW w:w="2716" w:type="dxa"/>
          </w:tcPr>
          <w:p>
            <w:pPr>
              <w:widowControl w:val="0"/>
              <w:jc w:val="center"/>
            </w:pPr>
            <w:r>
              <w:rPr>
                <w:caps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 муниципального района «Белгородский район»</w:t>
            </w:r>
          </w:p>
          <w:p>
            <w:pPr>
              <w:widowControl w:val="0"/>
              <w:jc w:val="center"/>
            </w:pPr>
            <w:r>
              <w:rPr>
                <w:spacing w:val="5"/>
              </w:rPr>
              <w:t>____________________</w:t>
            </w:r>
          </w:p>
          <w:p>
            <w:pPr>
              <w:widowControl w:val="0"/>
              <w:jc w:val="both"/>
              <w:rPr>
                <w:spacing w:val="5"/>
              </w:rPr>
            </w:pPr>
          </w:p>
        </w:tc>
        <w:tc>
          <w:tcPr>
            <w:tcW w:w="2211" w:type="dxa"/>
          </w:tcPr>
          <w:p>
            <w:pPr>
              <w:widowControl w:val="0"/>
              <w:jc w:val="center"/>
            </w:pPr>
            <w:r>
              <w:rPr>
                <w:caps/>
              </w:rPr>
              <w:t>ф</w:t>
            </w:r>
            <w:r>
              <w:t>актически выполненные работы</w:t>
            </w:r>
          </w:p>
        </w:tc>
        <w:tc>
          <w:tcPr>
            <w:tcW w:w="2204" w:type="dxa"/>
          </w:tcPr>
          <w:p>
            <w:pPr>
              <w:widowControl w:val="0"/>
              <w:jc w:val="center"/>
            </w:pPr>
            <w:r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>
            <w:pPr>
              <w:widowControl w:val="0"/>
              <w:jc w:val="both"/>
            </w:pPr>
            <w:r>
              <w:t>Сумма фактически выполненных работ, руб.</w:t>
            </w:r>
          </w:p>
        </w:tc>
      </w:tr>
      <w:tr>
        <w:tc>
          <w:tcPr>
            <w:tcW w:w="2716" w:type="dxa"/>
          </w:tcPr>
          <w:p>
            <w:pPr>
              <w:widowControl w:val="0"/>
              <w:jc w:val="both"/>
            </w:pPr>
          </w:p>
        </w:tc>
        <w:tc>
          <w:tcPr>
            <w:tcW w:w="2211" w:type="dxa"/>
          </w:tcPr>
          <w:p>
            <w:pPr>
              <w:widowControl w:val="0"/>
              <w:jc w:val="both"/>
            </w:pPr>
          </w:p>
        </w:tc>
        <w:tc>
          <w:tcPr>
            <w:tcW w:w="2204" w:type="dxa"/>
          </w:tcPr>
          <w:p>
            <w:pPr>
              <w:widowControl w:val="0"/>
              <w:jc w:val="both"/>
            </w:pPr>
          </w:p>
        </w:tc>
        <w:tc>
          <w:tcPr>
            <w:tcW w:w="2213" w:type="dxa"/>
          </w:tcPr>
          <w:p>
            <w:pPr>
              <w:widowControl w:val="0"/>
              <w:jc w:val="both"/>
            </w:pPr>
          </w:p>
        </w:tc>
      </w:tr>
      <w:tr>
        <w:tc>
          <w:tcPr>
            <w:tcW w:w="2716" w:type="dxa"/>
          </w:tcPr>
          <w:p>
            <w:pPr>
              <w:widowControl w:val="0"/>
              <w:jc w:val="both"/>
            </w:pPr>
          </w:p>
        </w:tc>
        <w:tc>
          <w:tcPr>
            <w:tcW w:w="2211" w:type="dxa"/>
          </w:tcPr>
          <w:p>
            <w:pPr>
              <w:widowControl w:val="0"/>
              <w:jc w:val="both"/>
            </w:pPr>
          </w:p>
        </w:tc>
        <w:tc>
          <w:tcPr>
            <w:tcW w:w="2204" w:type="dxa"/>
          </w:tcPr>
          <w:p>
            <w:pPr>
              <w:widowControl w:val="0"/>
              <w:jc w:val="both"/>
            </w:pPr>
          </w:p>
        </w:tc>
        <w:tc>
          <w:tcPr>
            <w:tcW w:w="2213" w:type="dxa"/>
          </w:tcPr>
          <w:p>
            <w:pPr>
              <w:widowControl w:val="0"/>
              <w:jc w:val="both"/>
            </w:pPr>
          </w:p>
        </w:tc>
      </w:tr>
    </w:tbl>
    <w:p>
      <w:pPr>
        <w:ind w:left="4536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</w:t>
      </w:r>
    </w:p>
    <w:p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</w:t>
      </w:r>
    </w:p>
    <w:p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 сельского поселения</w:t>
      </w:r>
    </w:p>
    <w:p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«29»  октября 2024 г. № 56</w:t>
      </w:r>
    </w:p>
    <w:p>
      <w:pPr>
        <w:tabs>
          <w:tab w:val="left" w:pos="709"/>
        </w:tabs>
        <w:ind w:left="5040"/>
        <w:rPr>
          <w:sz w:val="28"/>
          <w:szCs w:val="28"/>
        </w:rPr>
      </w:pPr>
    </w:p>
    <w:p>
      <w:pPr>
        <w:tabs>
          <w:tab w:val="left" w:pos="709"/>
        </w:tabs>
        <w:ind w:left="5040"/>
        <w:rPr>
          <w:sz w:val="28"/>
          <w:szCs w:val="28"/>
        </w:rPr>
      </w:pPr>
    </w:p>
    <w:p>
      <w:pPr>
        <w:pStyle w:val="ConsPlusNormal"/>
        <w:jc w:val="center"/>
      </w:pPr>
    </w:p>
    <w:p>
      <w:pPr>
        <w:pStyle w:val="ConsPlusNormal"/>
        <w:jc w:val="center"/>
      </w:pPr>
      <w:r>
        <w:rPr>
          <w:b/>
          <w:bCs/>
        </w:rPr>
        <w:t>Порядок и условия</w:t>
      </w:r>
    </w:p>
    <w:p>
      <w:pPr>
        <w:pStyle w:val="ConsPlusNormal"/>
        <w:jc w:val="center"/>
      </w:pPr>
      <w:r>
        <w:rPr>
          <w:b/>
          <w:bCs/>
        </w:rPr>
        <w:t xml:space="preserve"> предоставления межбюджетных трансфертов, предоставляемых  из бюджета Комсомольского сельского поселения бюджету муниципального района «Белгородский район» Белгородской области  на осуществление части полномочий </w:t>
      </w:r>
      <w:r>
        <w:rPr>
          <w:b/>
        </w:rPr>
        <w:t>поселения по организации благоустройства территории в части освещения улиц населенных пунктов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709"/>
        <w:jc w:val="both"/>
      </w:pPr>
      <w:r>
        <w:t>1. Настоящий Порядок устанавливает порядок определения ежегодного объема межбюджетных трансфертов, предоставляемых из бюджета Комсомольского сельского поселения бюджету муниципального района «Белгородский район» Белгородской области на осуществление части полномочий поселения организации благоустройства территории в части освещения улиц населенных пунктов.</w:t>
      </w:r>
    </w:p>
    <w:p>
      <w:pPr>
        <w:pStyle w:val="ConsPlusNormal"/>
        <w:ind w:firstLine="709"/>
        <w:jc w:val="both"/>
      </w:pPr>
      <w: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  о передаче на осуществление  части полномочий поселения по организации благоустройства территории в части освещения улиц населенных пунктов. </w:t>
      </w:r>
    </w:p>
    <w:p>
      <w:pPr>
        <w:pStyle w:val="ConsPlusNormal"/>
        <w:ind w:firstLine="709"/>
        <w:jc w:val="both"/>
      </w:pPr>
      <w:r>
        <w:t xml:space="preserve">3. Размер межбюджетных трансфертов определяется в соответствии с </w:t>
      </w:r>
      <w:hyperlink w:anchor="Par33" w:history="1">
        <w:r>
          <w:t>Методикой</w:t>
        </w:r>
      </w:hyperlink>
      <w:r>
        <w:t xml:space="preserve"> расчета межбюджетных трансфертов, предоставляемых из бюджета 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>
      <w:pPr>
        <w:pStyle w:val="ConsPlusNormal"/>
        <w:ind w:firstLine="709"/>
        <w:jc w:val="both"/>
      </w:pPr>
      <w:r>
        <w:t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  поселения в бюджет муниципального района.</w:t>
      </w:r>
    </w:p>
    <w:p>
      <w:pPr>
        <w:pStyle w:val="ConsPlusNormal"/>
        <w:ind w:firstLine="709"/>
        <w:jc w:val="both"/>
      </w:pPr>
      <w:r>
        <w:t>5. Администрация Белгородского района ежеквартально, не позднее 25-го числа месяца, следующего за отчетным периодом, направляет в администрацию 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>
      <w:pPr>
        <w:pStyle w:val="ConsPlusNormal"/>
        <w:ind w:firstLine="709"/>
        <w:jc w:val="both"/>
      </w:pPr>
      <w:r>
        <w:lastRenderedPageBreak/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>
      <w:pPr>
        <w:pStyle w:val="ConsPlusNormal"/>
        <w:ind w:firstLine="709"/>
        <w:jc w:val="both"/>
      </w:pPr>
      <w: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поселения.</w:t>
      </w:r>
    </w:p>
    <w:p>
      <w:pPr>
        <w:pStyle w:val="ConsPlusNormal"/>
        <w:ind w:firstLine="709"/>
        <w:jc w:val="both"/>
      </w:pPr>
      <w:r>
        <w:t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порядке, установленном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rPr>
          <w:b/>
          <w:bCs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rPr>
          <w:sz w:val="28"/>
          <w:szCs w:val="28"/>
        </w:rPr>
      </w:pPr>
    </w:p>
    <w:p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УТВЕРЖДЕНА</w:t>
      </w:r>
    </w:p>
    <w:p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Комсомольского сельского поселения</w:t>
      </w:r>
    </w:p>
    <w:p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«29» октября 2024 г. № 56</w:t>
      </w:r>
    </w:p>
    <w:p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>
      <w:pPr>
        <w:jc w:val="center"/>
      </w:pPr>
      <w:r>
        <w:rPr>
          <w:b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  <w:t xml:space="preserve">расчета межбюджетных трансфертов, предоставляемых             из бюджета Комсомольского сельского поселения бюджету муниципального района  «Белгородский район» Белгородской области       на </w:t>
      </w:r>
      <w:r>
        <w:rPr>
          <w:b/>
          <w:sz w:val="28"/>
          <w:szCs w:val="28"/>
        </w:rPr>
        <w:t xml:space="preserve"> осуществление части полномочий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организации благоустройства территории в части освещения улиц населенных пунктов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>
      <w:pPr>
        <w:pStyle w:val="ConsPlusNormal"/>
        <w:ind w:firstLine="540"/>
        <w:jc w:val="both"/>
      </w:pPr>
      <w:r>
        <w:t xml:space="preserve">- стоимость эксплуатации объектов наружного освещения; </w:t>
      </w:r>
    </w:p>
    <w:p>
      <w:pPr>
        <w:pStyle w:val="ConsPlusNormal"/>
        <w:ind w:firstLine="540"/>
        <w:jc w:val="both"/>
      </w:pPr>
      <w:r>
        <w:t>- затраты на электрическую энергию.</w:t>
      </w:r>
    </w:p>
    <w:p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>
        <w:tc>
          <w:tcPr>
            <w:tcW w:w="1276" w:type="dxa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Наимено-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>
            <w:pPr>
              <w:ind w:right="-108"/>
              <w:jc w:val="center"/>
            </w:pPr>
            <w:r>
              <w:rPr>
                <w:bCs/>
                <w:sz w:val="22"/>
                <w:szCs w:val="22"/>
              </w:rPr>
              <w:t>Среднемесячное</w:t>
            </w:r>
          </w:p>
          <w:p>
            <w:pPr>
              <w:ind w:right="34"/>
              <w:jc w:val="center"/>
            </w:pPr>
            <w:r>
              <w:rPr>
                <w:bCs/>
                <w:sz w:val="22"/>
                <w:szCs w:val="22"/>
              </w:rPr>
              <w:t>количество светоточек, фактически работающих в оптимальном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Количество светоточек, работающих в ночном режиме, шт.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Итого стоимость услуг, руб. с НДС</w:t>
            </w:r>
          </w:p>
        </w:tc>
      </w:tr>
      <w:tr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</w:tr>
    </w:tbl>
    <w:p/>
    <w:p>
      <w:pPr>
        <w:pStyle w:val="Style6"/>
        <w:widowControl/>
        <w:ind w:right="25"/>
        <w:jc w:val="center"/>
      </w:pPr>
      <w:r>
        <w:rPr>
          <w:rStyle w:val="FontStyle13"/>
          <w:sz w:val="27"/>
          <w:szCs w:val="27"/>
          <w:lang w:val="en-US"/>
        </w:rPr>
        <w:t>C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</w:t>
      </w:r>
      <w:r>
        <w:rPr>
          <w:rStyle w:val="FontStyle13"/>
          <w:sz w:val="27"/>
          <w:szCs w:val="27"/>
        </w:rPr>
        <w:t xml:space="preserve">= </w:t>
      </w:r>
      <w:r>
        <w:rPr>
          <w:rStyle w:val="FontStyle13"/>
          <w:smallCaps w:val="0"/>
          <w:sz w:val="27"/>
          <w:szCs w:val="27"/>
          <w:lang w:val="en-US"/>
        </w:rPr>
        <w:t>t</w:t>
      </w:r>
      <w:r>
        <w:rPr>
          <w:rStyle w:val="FontStyle11"/>
          <w:b w:val="0"/>
          <w:sz w:val="27"/>
          <w:szCs w:val="27"/>
          <w:vertAlign w:val="subscript"/>
        </w:rPr>
        <w:t xml:space="preserve"> опт</w:t>
      </w:r>
      <w:r>
        <w:rPr>
          <w:rStyle w:val="FontStyle13"/>
          <w:sz w:val="27"/>
          <w:szCs w:val="27"/>
        </w:rPr>
        <w:t xml:space="preserve"> *  Ц 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>
        <w:rPr>
          <w:rStyle w:val="FontStyle13"/>
          <w:sz w:val="27"/>
          <w:szCs w:val="27"/>
        </w:rPr>
        <w:t xml:space="preserve">*  </w:t>
      </w: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, </w:t>
      </w:r>
    </w:p>
    <w:p>
      <w:pPr>
        <w:pStyle w:val="Style6"/>
        <w:widowControl/>
        <w:ind w:right="25"/>
        <w:jc w:val="center"/>
      </w:pPr>
    </w:p>
    <w:p>
      <w:pPr>
        <w:ind w:firstLine="540"/>
        <w:jc w:val="both"/>
      </w:pPr>
      <w:r>
        <w:rPr>
          <w:rStyle w:val="FontStyle11"/>
          <w:b w:val="0"/>
          <w:sz w:val="28"/>
          <w:szCs w:val="28"/>
        </w:rPr>
        <w:t>где :</w:t>
      </w:r>
    </w:p>
    <w:p>
      <w:pPr>
        <w:ind w:firstLine="540"/>
        <w:jc w:val="both"/>
      </w:pPr>
      <w:r>
        <w:rPr>
          <w:rStyle w:val="FontStyle13"/>
          <w:sz w:val="27"/>
          <w:szCs w:val="27"/>
          <w:lang w:val="en-US"/>
        </w:rPr>
        <w:t>C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>
        <w:rPr>
          <w:sz w:val="28"/>
          <w:szCs w:val="28"/>
        </w:rPr>
        <w:t>- стоимость эксплуатации объектов наружного освещения, руб.;</w:t>
      </w:r>
    </w:p>
    <w:p>
      <w:pPr>
        <w:ind w:firstLine="540"/>
        <w:jc w:val="both"/>
      </w:pPr>
      <w:r>
        <w:rPr>
          <w:rStyle w:val="FontStyle13"/>
          <w:sz w:val="27"/>
          <w:szCs w:val="27"/>
        </w:rPr>
        <w:t xml:space="preserve">Ц </w:t>
      </w:r>
      <w:r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>
        <w:rPr>
          <w:sz w:val="28"/>
          <w:szCs w:val="28"/>
        </w:rPr>
        <w:t>- цена (тариф) эксплуатации одной светоточки, руб./час;</w:t>
      </w:r>
    </w:p>
    <w:p>
      <w:pPr>
        <w:ind w:firstLine="540"/>
        <w:jc w:val="both"/>
      </w:pP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</w:t>
      </w:r>
      <w:r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>
      <w:pPr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Планируемая стоимость электроэнергии, потребленной объектами наружного освещения, </w:t>
      </w:r>
      <w:r>
        <w:rPr>
          <w:noProof/>
          <w:position w:val="-12"/>
        </w:rPr>
        <w:pict>
          <v:shape id="_x0000_i1026" type="#_x0000_t75" style="width:18pt;height:18pt;visibility:visible;mso-wrap-style:square">
            <v:imagedata r:id="rId13" o:title=""/>
          </v:shape>
        </w:pict>
      </w:r>
      <w:r>
        <w:t xml:space="preserve"> определяется по формуле:</w:t>
      </w:r>
    </w:p>
    <w:p>
      <w:pPr>
        <w:pStyle w:val="ConsPlusNormal"/>
        <w:ind w:firstLine="540"/>
        <w:jc w:val="center"/>
      </w:pPr>
      <w:r>
        <w:t>С</w:t>
      </w:r>
      <w:r>
        <w:rPr>
          <w:vertAlign w:val="subscript"/>
        </w:rPr>
        <w:t>ээ</w:t>
      </w:r>
      <w:r>
        <w:rPr>
          <w:vertAlign w:val="superscript"/>
        </w:rPr>
        <w:t xml:space="preserve"> </w:t>
      </w:r>
      <w:r>
        <w:t>=Т</w:t>
      </w:r>
      <w:r>
        <w:rPr>
          <w:vertAlign w:val="subscript"/>
        </w:rPr>
        <w:t>ээ</w:t>
      </w:r>
      <w:r>
        <w:t>*</w:t>
      </w:r>
      <w:r>
        <w:rPr>
          <w:lang w:val="en-US"/>
        </w:rPr>
        <w:t>W</w:t>
      </w:r>
      <w:r>
        <w:t>;</w:t>
      </w:r>
    </w:p>
    <w:p>
      <w:pPr>
        <w:pStyle w:val="ConsPlusNormal"/>
        <w:ind w:firstLine="540"/>
        <w:jc w:val="both"/>
      </w:pPr>
      <w:r>
        <w:t>где:</w:t>
      </w:r>
    </w:p>
    <w:p>
      <w:pPr>
        <w:pStyle w:val="ConsPlusNormal"/>
        <w:ind w:firstLine="540"/>
        <w:jc w:val="both"/>
      </w:pPr>
      <w:r>
        <w:t>Т</w:t>
      </w:r>
      <w:r>
        <w:rPr>
          <w:vertAlign w:val="subscript"/>
        </w:rPr>
        <w:t>ээ</w:t>
      </w:r>
      <w:r>
        <w:t>- тариф на электроэнергию за 1 кВт.ч, сложившийся в расчетном периоде, руб./кВт.ч;</w:t>
      </w:r>
    </w:p>
    <w:p>
      <w:pPr>
        <w:pStyle w:val="ConsPlusNormal"/>
        <w:ind w:firstLine="540"/>
        <w:jc w:val="both"/>
      </w:pPr>
      <w:r>
        <w:t>W - общая планируемая годовая потребность в электрической энергии на организацию наружного освещения, кВт.ч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rPr>
          <w:vertAlign w:val="subscript"/>
        </w:rPr>
      </w:pPr>
    </w:p>
    <w:p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>
      <w:pPr>
        <w:pStyle w:val="ConsPlusNormal"/>
        <w:ind w:firstLine="540"/>
        <w:jc w:val="center"/>
      </w:pPr>
    </w:p>
    <w:p>
      <w:pPr>
        <w:pStyle w:val="ConsPlusNormal"/>
        <w:ind w:firstLine="540"/>
        <w:jc w:val="center"/>
      </w:pPr>
      <w:r>
        <w:rPr>
          <w:b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830"/>
        <w:gridCol w:w="1545"/>
        <w:gridCol w:w="2812"/>
        <w:gridCol w:w="2835"/>
      </w:tblGrid>
      <w:tr>
        <w:trPr>
          <w:trHeight w:val="630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0"/>
              </w:rPr>
              <w:t xml:space="preserve"> Наименование района (города), сельских, городских поселений </w:t>
            </w: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72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20"/>
              </w:rPr>
              <w:t xml:space="preserve"> план 2025 год </w:t>
            </w:r>
          </w:p>
        </w:tc>
      </w:tr>
      <w:tr>
        <w:trPr>
          <w:trHeight w:val="6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0"/>
              </w:rPr>
              <w:t xml:space="preserve"> наружное освещение внутрипоселенческих дорог </w:t>
            </w:r>
          </w:p>
        </w:tc>
      </w:tr>
      <w:tr>
        <w:trPr>
          <w:trHeight w:val="2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0"/>
              </w:rPr>
              <w:t xml:space="preserve"> Всего </w:t>
            </w:r>
          </w:p>
        </w:tc>
        <w:tc>
          <w:tcPr>
            <w:tcW w:w="5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0"/>
              </w:rPr>
              <w:t xml:space="preserve"> в том числе </w:t>
            </w:r>
          </w:p>
        </w:tc>
      </w:tr>
      <w:tr>
        <w:trPr>
          <w:trHeight w:val="30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0"/>
              </w:rPr>
              <w:t xml:space="preserve"> электроэнергия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0"/>
              </w:rPr>
              <w:t xml:space="preserve"> техническое обслуживание </w:t>
            </w:r>
          </w:p>
        </w:tc>
      </w:tr>
      <w:tr>
        <w:trPr>
          <w:trHeight w:val="3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sz w:val="20"/>
              </w:rPr>
              <w:t xml:space="preserve">  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sz w:val="20"/>
              </w:rPr>
              <w:t xml:space="preserve">  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sz w:val="20"/>
              </w:rPr>
              <w:t xml:space="preserve">  3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sz w:val="20"/>
              </w:rPr>
              <w:t xml:space="preserve">  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sz w:val="20"/>
              </w:rPr>
              <w:t xml:space="preserve">  5 </w:t>
            </w:r>
          </w:p>
        </w:tc>
      </w:tr>
      <w:t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</w:pPr>
            <w:r>
              <w:rPr>
                <w:sz w:val="20"/>
              </w:rPr>
              <w:t xml:space="preserve">  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sz w:val="20"/>
              </w:rPr>
              <w:t xml:space="preserve"> Комсомольское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right"/>
            </w:pPr>
            <w:r>
              <w:rPr>
                <w:sz w:val="20"/>
              </w:rPr>
              <w:t xml:space="preserve">  3 396,00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right"/>
            </w:pPr>
            <w:r>
              <w:rPr>
                <w:sz w:val="20"/>
              </w:rPr>
              <w:t xml:space="preserve">  2 489,00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right"/>
            </w:pPr>
            <w:r>
              <w:rPr>
                <w:sz w:val="20"/>
              </w:rPr>
              <w:t xml:space="preserve">  907,00 </w:t>
            </w:r>
          </w:p>
        </w:tc>
      </w:tr>
      <w:t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  3 396,00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  2 489,00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  907,00 </w:t>
            </w:r>
          </w:p>
        </w:tc>
      </w:tr>
    </w:tbl>
    <w:p>
      <w:pPr>
        <w:pStyle w:val="ConsPlusNormal"/>
        <w:ind w:firstLine="540"/>
        <w:jc w:val="both"/>
        <w:rPr>
          <w:b/>
          <w:bCs/>
        </w:rPr>
      </w:pPr>
    </w:p>
    <w:p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sectPr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D8F"/>
    <w:multiLevelType w:val="multilevel"/>
    <w:tmpl w:val="5CEAE26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139325E2"/>
    <w:multiLevelType w:val="hybridMultilevel"/>
    <w:tmpl w:val="10A61CFC"/>
    <w:lvl w:ilvl="0" w:tplc="593821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A2DC6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4E9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85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AF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42C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45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45F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A9C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F5278"/>
    <w:multiLevelType w:val="hybridMultilevel"/>
    <w:tmpl w:val="F63ACDAC"/>
    <w:lvl w:ilvl="0" w:tplc="D17AE4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AE60454E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1E3C45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C8DC267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466A43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D1D0A4C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9A8A5B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E1677B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6A8A2D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4716FDB"/>
    <w:multiLevelType w:val="hybridMultilevel"/>
    <w:tmpl w:val="F926DCF8"/>
    <w:lvl w:ilvl="0" w:tplc="B58C635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7174CE3A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598144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8C68C70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4F96864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D8A8565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8D0EEE7A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858D298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A1D61AE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65C74E7"/>
    <w:multiLevelType w:val="hybridMultilevel"/>
    <w:tmpl w:val="306CF7F8"/>
    <w:lvl w:ilvl="0" w:tplc="A28076BE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D6F86706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AD0298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89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41A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AD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8F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A62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099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340F7"/>
    <w:multiLevelType w:val="hybridMultilevel"/>
    <w:tmpl w:val="04D81F8A"/>
    <w:lvl w:ilvl="0" w:tplc="6994DAE2">
      <w:start w:val="1"/>
      <w:numFmt w:val="decimal"/>
      <w:lvlText w:val="1.%1"/>
      <w:lvlJc w:val="right"/>
      <w:pPr>
        <w:ind w:left="1260" w:hanging="551"/>
      </w:pPr>
    </w:lvl>
    <w:lvl w:ilvl="1" w:tplc="A2AE5F6E">
      <w:start w:val="1"/>
      <w:numFmt w:val="lowerLetter"/>
      <w:lvlText w:val="%2."/>
      <w:lvlJc w:val="left"/>
      <w:pPr>
        <w:ind w:left="2149" w:hanging="360"/>
      </w:pPr>
    </w:lvl>
    <w:lvl w:ilvl="2" w:tplc="83FE1B00">
      <w:start w:val="1"/>
      <w:numFmt w:val="lowerRoman"/>
      <w:lvlText w:val="%3."/>
      <w:lvlJc w:val="right"/>
      <w:pPr>
        <w:ind w:left="2869" w:hanging="180"/>
      </w:pPr>
    </w:lvl>
    <w:lvl w:ilvl="3" w:tplc="34BA5128">
      <w:start w:val="1"/>
      <w:numFmt w:val="decimal"/>
      <w:lvlText w:val="%4."/>
      <w:lvlJc w:val="left"/>
      <w:pPr>
        <w:ind w:left="3589" w:hanging="360"/>
      </w:pPr>
    </w:lvl>
    <w:lvl w:ilvl="4" w:tplc="E304B584">
      <w:start w:val="1"/>
      <w:numFmt w:val="lowerLetter"/>
      <w:lvlText w:val="%5."/>
      <w:lvlJc w:val="left"/>
      <w:pPr>
        <w:ind w:left="4309" w:hanging="360"/>
      </w:pPr>
    </w:lvl>
    <w:lvl w:ilvl="5" w:tplc="03180DCC">
      <w:start w:val="1"/>
      <w:numFmt w:val="lowerRoman"/>
      <w:lvlText w:val="%6."/>
      <w:lvlJc w:val="right"/>
      <w:pPr>
        <w:ind w:left="5029" w:hanging="180"/>
      </w:pPr>
    </w:lvl>
    <w:lvl w:ilvl="6" w:tplc="95F2EFA8">
      <w:start w:val="1"/>
      <w:numFmt w:val="decimal"/>
      <w:lvlText w:val="%7."/>
      <w:lvlJc w:val="left"/>
      <w:pPr>
        <w:ind w:left="5749" w:hanging="360"/>
      </w:pPr>
    </w:lvl>
    <w:lvl w:ilvl="7" w:tplc="7FF0C008">
      <w:start w:val="1"/>
      <w:numFmt w:val="lowerLetter"/>
      <w:lvlText w:val="%8."/>
      <w:lvlJc w:val="left"/>
      <w:pPr>
        <w:ind w:left="6469" w:hanging="360"/>
      </w:pPr>
    </w:lvl>
    <w:lvl w:ilvl="8" w:tplc="7572F18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D9251C"/>
    <w:multiLevelType w:val="hybridMultilevel"/>
    <w:tmpl w:val="93FEFFBE"/>
    <w:lvl w:ilvl="0" w:tplc="B0DEBC4A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E656004E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18D63E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2E0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380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84D4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96D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EE41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A0FD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BA3C7D"/>
    <w:multiLevelType w:val="hybridMultilevel"/>
    <w:tmpl w:val="7BD4DB18"/>
    <w:lvl w:ilvl="0" w:tplc="CE460B72">
      <w:start w:val="1"/>
      <w:numFmt w:val="decimal"/>
      <w:lvlText w:val="%1."/>
      <w:lvlJc w:val="left"/>
    </w:lvl>
    <w:lvl w:ilvl="1" w:tplc="814A8E0E">
      <w:start w:val="1"/>
      <w:numFmt w:val="lowerLetter"/>
      <w:lvlText w:val="%2."/>
      <w:lvlJc w:val="left"/>
      <w:pPr>
        <w:ind w:left="1440" w:hanging="360"/>
      </w:pPr>
    </w:lvl>
    <w:lvl w:ilvl="2" w:tplc="5AD4F568">
      <w:start w:val="1"/>
      <w:numFmt w:val="lowerRoman"/>
      <w:lvlText w:val="%3."/>
      <w:lvlJc w:val="right"/>
      <w:pPr>
        <w:ind w:left="2160" w:hanging="180"/>
      </w:pPr>
    </w:lvl>
    <w:lvl w:ilvl="3" w:tplc="58D2E612">
      <w:start w:val="1"/>
      <w:numFmt w:val="decimal"/>
      <w:lvlText w:val="%4."/>
      <w:lvlJc w:val="left"/>
      <w:pPr>
        <w:ind w:left="2880" w:hanging="360"/>
      </w:pPr>
    </w:lvl>
    <w:lvl w:ilvl="4" w:tplc="FF04E256">
      <w:start w:val="1"/>
      <w:numFmt w:val="lowerLetter"/>
      <w:lvlText w:val="%5."/>
      <w:lvlJc w:val="left"/>
      <w:pPr>
        <w:ind w:left="3600" w:hanging="360"/>
      </w:pPr>
    </w:lvl>
    <w:lvl w:ilvl="5" w:tplc="9334AE3C">
      <w:start w:val="1"/>
      <w:numFmt w:val="lowerRoman"/>
      <w:lvlText w:val="%6."/>
      <w:lvlJc w:val="right"/>
      <w:pPr>
        <w:ind w:left="4320" w:hanging="180"/>
      </w:pPr>
    </w:lvl>
    <w:lvl w:ilvl="6" w:tplc="E25ED7B2">
      <w:start w:val="1"/>
      <w:numFmt w:val="decimal"/>
      <w:lvlText w:val="%7."/>
      <w:lvlJc w:val="left"/>
      <w:pPr>
        <w:ind w:left="5040" w:hanging="360"/>
      </w:pPr>
    </w:lvl>
    <w:lvl w:ilvl="7" w:tplc="8AC4050A">
      <w:start w:val="1"/>
      <w:numFmt w:val="lowerLetter"/>
      <w:lvlText w:val="%8."/>
      <w:lvlJc w:val="left"/>
      <w:pPr>
        <w:ind w:left="5760" w:hanging="360"/>
      </w:pPr>
    </w:lvl>
    <w:lvl w:ilvl="8" w:tplc="A1A834D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43CCC"/>
    <w:multiLevelType w:val="hybridMultilevel"/>
    <w:tmpl w:val="4238DB76"/>
    <w:lvl w:ilvl="0" w:tplc="FB128322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237002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C8A82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4C3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5695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3CFF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F82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D015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D644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A845A0"/>
    <w:multiLevelType w:val="hybridMultilevel"/>
    <w:tmpl w:val="B4F817B2"/>
    <w:lvl w:ilvl="0" w:tplc="686EC418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8252F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18C19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C7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C30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620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9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8D9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4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14AD2"/>
    <w:multiLevelType w:val="hybridMultilevel"/>
    <w:tmpl w:val="2D568996"/>
    <w:lvl w:ilvl="0" w:tplc="EA6AAC4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74CEA232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CF0CA45C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D9B696A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D74ADF3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E504853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4822CF7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C9AEBF80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1C147D8C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4DE104E9"/>
    <w:multiLevelType w:val="hybridMultilevel"/>
    <w:tmpl w:val="1A2A2B0C"/>
    <w:lvl w:ilvl="0" w:tplc="F766C316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B5D88F9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CB0668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B76B40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C24DD6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52AECE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064D7B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E002B5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0A25BE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C2C5B4F"/>
    <w:multiLevelType w:val="hybridMultilevel"/>
    <w:tmpl w:val="7E40C8F4"/>
    <w:lvl w:ilvl="0" w:tplc="D572F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00A73B0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ACD4D0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906279C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423AC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6A611D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A28F1A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F647C0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AE6E17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2F51B0A"/>
    <w:multiLevelType w:val="hybridMultilevel"/>
    <w:tmpl w:val="0B0288B2"/>
    <w:lvl w:ilvl="0" w:tplc="748CB69E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5B1A83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BF690A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AEA58A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8AED0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96426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9660B7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F0639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4003A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4671D74"/>
    <w:multiLevelType w:val="multilevel"/>
    <w:tmpl w:val="D1B0E4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5">
    <w:nsid w:val="6B5731F2"/>
    <w:multiLevelType w:val="multilevel"/>
    <w:tmpl w:val="B83EA9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16">
    <w:nsid w:val="74AA6205"/>
    <w:multiLevelType w:val="hybridMultilevel"/>
    <w:tmpl w:val="5380CD6A"/>
    <w:lvl w:ilvl="0" w:tplc="0CF20A1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6966D7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B641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5A0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A628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BA0C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229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328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2806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6"/>
  </w:num>
  <w:num w:numId="5">
    <w:abstractNumId w:val="10"/>
  </w:num>
  <w:num w:numId="6">
    <w:abstractNumId w:val="13"/>
  </w:num>
  <w:num w:numId="7">
    <w:abstractNumId w:val="11"/>
  </w:num>
  <w:num w:numId="8">
    <w:abstractNumId w:val="15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E553-9D73-47A7-9C66-088A6D3F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6"/>
      <w:lang w:val="ru-RU" w:eastAsia="ru-RU" w:bidi="ar-SA"/>
    </w:rPr>
  </w:style>
  <w:style w:type="character" w:styleId="afa">
    <w:name w:val="page number"/>
    <w:rPr>
      <w:rFonts w:cs="Times New Roman"/>
    </w:rPr>
  </w:style>
  <w:style w:type="character" w:customStyle="1" w:styleId="rvts7">
    <w:name w:val="rvts7"/>
    <w:rPr>
      <w:rFonts w:ascii="Arial CYR" w:hAnsi="Arial CYR"/>
      <w:color w:val="000000"/>
    </w:rPr>
  </w:style>
  <w:style w:type="paragraph" w:styleId="afb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6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sz w:val="28"/>
      <w:szCs w:val="24"/>
      <w:lang w:val="en-US" w:eastAsia="en-US"/>
    </w:r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F88640E3BA68F894A0E7E6A3DADE8038A745907925B498135FC6BCD03FDE5822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ЗамГлавы</cp:lastModifiedBy>
  <cp:revision>26</cp:revision>
  <cp:lastPrinted>2024-10-31T17:22:00Z</cp:lastPrinted>
  <dcterms:created xsi:type="dcterms:W3CDTF">2021-10-13T11:30:00Z</dcterms:created>
  <dcterms:modified xsi:type="dcterms:W3CDTF">2024-10-31T17:22:00Z</dcterms:modified>
  <cp:version>983040</cp:version>
</cp:coreProperties>
</file>